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CB74E5" w:rsidP="00CF1133">
      <w:pPr>
        <w:ind w:left="-710" w:firstLine="695"/>
        <w:rPr>
          <w:b/>
          <w:bCs/>
        </w:rPr>
      </w:pPr>
    </w:p>
    <w:p w:rsidR="00CF1133" w:rsidRDefault="00CB74E5" w:rsidP="00CF1133">
      <w:pPr>
        <w:ind w:left="-710" w:firstLine="695"/>
      </w:pPr>
      <w:r>
        <w:rPr>
          <w:b/>
          <w:bCs/>
        </w:rPr>
        <w:t xml:space="preserve">Lancashire Enterprise Partnership Limited  </w:t>
      </w:r>
    </w:p>
    <w:p w:rsidR="00CF1133" w:rsidRPr="00BC4466" w:rsidRDefault="00CB74E5" w:rsidP="00CF1133">
      <w:pPr>
        <w:spacing w:after="0" w:line="256" w:lineRule="auto"/>
        <w:ind w:left="0" w:firstLine="0"/>
        <w:rPr>
          <w:b/>
          <w:bCs/>
        </w:rPr>
      </w:pPr>
      <w:r w:rsidRPr="00BC4466">
        <w:rPr>
          <w:b/>
          <w:bCs/>
        </w:rPr>
        <w:t xml:space="preserve"> </w:t>
      </w:r>
    </w:p>
    <w:p w:rsidR="00BC4466" w:rsidRPr="00BC4466" w:rsidRDefault="00CB74E5" w:rsidP="00CF1133">
      <w:pPr>
        <w:spacing w:after="0" w:line="256" w:lineRule="auto"/>
        <w:ind w:left="0" w:firstLine="0"/>
        <w:rPr>
          <w:b/>
          <w:bCs/>
        </w:rPr>
      </w:pPr>
      <w:r w:rsidRPr="00BC4466">
        <w:rPr>
          <w:b/>
        </w:rPr>
        <w:t xml:space="preserve">Private and Confidential: </w:t>
      </w:r>
      <w:r>
        <w:rPr>
          <w:b/>
        </w:rPr>
        <w:t>NO</w:t>
      </w:r>
    </w:p>
    <w:p w:rsidR="00BC4466" w:rsidRDefault="00CB74E5" w:rsidP="00CF1133">
      <w:pPr>
        <w:spacing w:after="0" w:line="256" w:lineRule="auto"/>
        <w:ind w:left="0" w:firstLine="0"/>
      </w:pPr>
    </w:p>
    <w:p w:rsidR="00A3358A" w:rsidRDefault="00CB74E5" w:rsidP="00A3358A">
      <w:r w:rsidRPr="005D0C06">
        <w:rPr>
          <w:b/>
        </w:rPr>
        <w:t>Date:</w:t>
      </w:r>
      <w:r>
        <w:t xml:space="preserve"> </w:t>
      </w:r>
      <w:r>
        <w:fldChar w:fldCharType="begin"/>
      </w:r>
      <w:r>
        <w:instrText xml:space="preserve"> DOCPROPERTY  MeetingDate  \* MERGEFORMAT </w:instrText>
      </w:r>
      <w:r>
        <w:fldChar w:fldCharType="separate"/>
      </w:r>
      <w:r>
        <w:t>Tuesday, 8 December 2020</w:t>
      </w:r>
      <w:r>
        <w:fldChar w:fldCharType="end"/>
      </w:r>
    </w:p>
    <w:p w:rsidR="00A3358A" w:rsidRDefault="00CB74E5" w:rsidP="00A3358A"/>
    <w:p w:rsidR="00A3358A" w:rsidRDefault="00CB74E5"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Lancashire Skills and Employment Strategic Framework 2021 </w:t>
      </w:r>
      <w:r>
        <w:rPr>
          <w:rFonts w:eastAsia="Times New Roman" w:cs="Times New Roman"/>
          <w:b/>
          <w:color w:val="auto"/>
          <w:szCs w:val="20"/>
        </w:rPr>
        <w:t>Refresh</w:t>
      </w:r>
      <w:r>
        <w:rPr>
          <w:rFonts w:eastAsia="Times New Roman" w:cs="Times New Roman"/>
          <w:b/>
          <w:color w:val="auto"/>
          <w:szCs w:val="20"/>
        </w:rPr>
        <w:fldChar w:fldCharType="end"/>
      </w:r>
    </w:p>
    <w:p w:rsidR="00A3358A" w:rsidRDefault="00CB74E5" w:rsidP="00A3358A">
      <w:pPr>
        <w:ind w:left="0" w:firstLine="0"/>
      </w:pPr>
      <w:r>
        <w:t>(Appendices 'A' and 'B' refer)</w:t>
      </w:r>
    </w:p>
    <w:p w:rsidR="00D7480F" w:rsidRDefault="00CB74E5" w:rsidP="00CF1133">
      <w:pPr>
        <w:spacing w:after="0" w:line="256" w:lineRule="auto"/>
        <w:ind w:left="0" w:firstLine="0"/>
      </w:pPr>
    </w:p>
    <w:p w:rsidR="00F41096" w:rsidRPr="00F41096" w:rsidRDefault="00CB74E5" w:rsidP="00CB74E5">
      <w:pPr>
        <w:ind w:left="0" w:right="-873" w:firstLine="0"/>
        <w:rPr>
          <w:b/>
        </w:rPr>
      </w:pPr>
      <w:r w:rsidRPr="00F41096">
        <w:rPr>
          <w:b/>
        </w:rPr>
        <w:t xml:space="preserve">Report Author: </w:t>
      </w:r>
      <w:r>
        <w:t xml:space="preserve">Dr Michele Lawty-Jones, Director of the Lancashire Skills and </w:t>
      </w:r>
      <w:r>
        <w:br/>
      </w:r>
      <w:bookmarkStart w:id="0" w:name="_GoBack"/>
      <w:bookmarkEnd w:id="0"/>
      <w:r>
        <w:t xml:space="preserve">Employment Hub, </w:t>
      </w:r>
      <w:hyperlink r:id="rId8" w:history="1">
        <w:r w:rsidRPr="0094731B">
          <w:rPr>
            <w:rStyle w:val="Hyperlink"/>
          </w:rPr>
          <w:t>Michele.lawty-jones@lancashirelep.co.uk</w:t>
        </w:r>
      </w:hyperlink>
    </w:p>
    <w:p w:rsidR="00F95C8B" w:rsidRPr="00CB74E5" w:rsidRDefault="00CB74E5" w:rsidP="00CB74E5">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4917" w:rsidTr="00841251">
        <w:tc>
          <w:tcPr>
            <w:tcW w:w="9180" w:type="dxa"/>
          </w:tcPr>
          <w:p w:rsidR="00F95C8B" w:rsidRDefault="00CB74E5" w:rsidP="00841251">
            <w:pPr>
              <w:pStyle w:val="Header"/>
            </w:pPr>
          </w:p>
          <w:p w:rsidR="00F95C8B" w:rsidRPr="00F95C8B" w:rsidRDefault="00CB74E5" w:rsidP="00841251">
            <w:pPr>
              <w:pStyle w:val="Heading6"/>
              <w:rPr>
                <w:rFonts w:ascii="Arial" w:hAnsi="Arial"/>
                <w:b/>
                <w:color w:val="auto"/>
              </w:rPr>
            </w:pPr>
            <w:r w:rsidRPr="00F95C8B">
              <w:rPr>
                <w:rFonts w:ascii="Arial" w:hAnsi="Arial"/>
                <w:b/>
                <w:color w:val="auto"/>
              </w:rPr>
              <w:t>Executive Su</w:t>
            </w:r>
            <w:r w:rsidRPr="00F95C8B">
              <w:rPr>
                <w:rFonts w:ascii="Arial" w:hAnsi="Arial"/>
                <w:b/>
                <w:color w:val="auto"/>
              </w:rPr>
              <w:t>mmary</w:t>
            </w:r>
          </w:p>
          <w:p w:rsidR="00F95C8B" w:rsidRPr="00F95C8B" w:rsidRDefault="00CB74E5" w:rsidP="00841251">
            <w:pPr>
              <w:rPr>
                <w:color w:val="auto"/>
              </w:rPr>
            </w:pPr>
          </w:p>
          <w:p w:rsidR="00962B79" w:rsidRPr="00962B79" w:rsidRDefault="00CB74E5" w:rsidP="00946846">
            <w:pPr>
              <w:spacing w:after="160" w:line="259" w:lineRule="auto"/>
              <w:ind w:left="0" w:firstLine="0"/>
              <w:jc w:val="both"/>
              <w:rPr>
                <w:rFonts w:eastAsiaTheme="minorHAnsi"/>
                <w:color w:val="auto"/>
                <w:lang w:eastAsia="en-US"/>
              </w:rPr>
            </w:pPr>
            <w:r w:rsidRPr="00962B79">
              <w:rPr>
                <w:rFonts w:eastAsiaTheme="minorHAnsi"/>
                <w:color w:val="auto"/>
                <w:lang w:eastAsia="en-US"/>
              </w:rPr>
              <w:t xml:space="preserve">The first iteration of the Lancashire Skills and Employment Strategic Framework was published in February 2016.  The Skills and Employment Advisory Panel and the Lancashire Skills and Employment Hub have undertaken a refresh of the framework for 2021, </w:t>
            </w:r>
            <w:r>
              <w:rPr>
                <w:rFonts w:eastAsiaTheme="minorHAnsi"/>
                <w:color w:val="auto"/>
                <w:lang w:eastAsia="en-US"/>
              </w:rPr>
              <w:t>incl</w:t>
            </w:r>
            <w:r>
              <w:rPr>
                <w:rFonts w:eastAsiaTheme="minorHAnsi"/>
                <w:color w:val="auto"/>
                <w:lang w:eastAsia="en-US"/>
              </w:rPr>
              <w:t>uding</w:t>
            </w:r>
            <w:r w:rsidRPr="00962B79">
              <w:rPr>
                <w:rFonts w:eastAsiaTheme="minorHAnsi"/>
                <w:color w:val="auto"/>
                <w:lang w:eastAsia="en-US"/>
              </w:rPr>
              <w:t xml:space="preserve"> consultation with partners, as detailed in Section 2.  Minor amendments have been made in line with the feedback from the consultation, and the board is asked to approve the final version of the framework for publication in January 2021. </w:t>
            </w:r>
          </w:p>
          <w:p w:rsidR="00F95C8B" w:rsidRPr="00F95C8B" w:rsidRDefault="00CB74E5" w:rsidP="00946846">
            <w:pPr>
              <w:pStyle w:val="Heading5"/>
              <w:jc w:val="both"/>
              <w:rPr>
                <w:rFonts w:ascii="Arial" w:hAnsi="Arial"/>
                <w:b/>
                <w:color w:val="auto"/>
              </w:rPr>
            </w:pPr>
            <w:r w:rsidRPr="00F95C8B">
              <w:rPr>
                <w:rFonts w:ascii="Arial" w:hAnsi="Arial"/>
                <w:b/>
                <w:color w:val="auto"/>
              </w:rPr>
              <w:t>Recommendat</w:t>
            </w:r>
            <w:r w:rsidRPr="00F95C8B">
              <w:rPr>
                <w:rFonts w:ascii="Arial" w:hAnsi="Arial"/>
                <w:b/>
                <w:color w:val="auto"/>
              </w:rPr>
              <w:t>ion</w:t>
            </w:r>
          </w:p>
          <w:p w:rsidR="00F95C8B" w:rsidRPr="00F95C8B" w:rsidRDefault="00CB74E5" w:rsidP="00946846">
            <w:pPr>
              <w:jc w:val="both"/>
              <w:rPr>
                <w:color w:val="auto"/>
              </w:rPr>
            </w:pPr>
          </w:p>
          <w:p w:rsidR="00F95C8B" w:rsidRDefault="00CB74E5" w:rsidP="00CB74E5">
            <w:pPr>
              <w:spacing w:after="100" w:afterAutospacing="1" w:line="250" w:lineRule="auto"/>
              <w:ind w:left="0" w:firstLine="0"/>
              <w:jc w:val="both"/>
            </w:pPr>
            <w:r>
              <w:t xml:space="preserve">The </w:t>
            </w:r>
            <w:r w:rsidRPr="00F32236">
              <w:t xml:space="preserve">Lancashire Enterprise Partnership Board are asked to </w:t>
            </w:r>
            <w:r>
              <w:t>approve the final version of the Lancashire Skills and Employment Strategic Framework 2021, for publication in January.</w:t>
            </w:r>
          </w:p>
          <w:p w:rsidR="00CB74E5" w:rsidRPr="00CB74E5" w:rsidRDefault="00CB74E5" w:rsidP="00CB74E5">
            <w:pPr>
              <w:spacing w:after="100" w:afterAutospacing="1" w:line="250" w:lineRule="auto"/>
              <w:ind w:left="0" w:firstLine="0"/>
              <w:jc w:val="both"/>
              <w:rPr>
                <w:color w:val="auto"/>
              </w:rPr>
            </w:pPr>
          </w:p>
        </w:tc>
      </w:tr>
    </w:tbl>
    <w:p w:rsidR="00A3358A" w:rsidRDefault="00CB74E5" w:rsidP="00CF1133">
      <w:pPr>
        <w:spacing w:after="0" w:line="256" w:lineRule="auto"/>
        <w:ind w:left="0" w:firstLine="0"/>
      </w:pPr>
    </w:p>
    <w:p w:rsidR="00962B79" w:rsidRPr="00962B79" w:rsidRDefault="00CB74E5" w:rsidP="00962B79">
      <w:pPr>
        <w:spacing w:after="160" w:line="259" w:lineRule="auto"/>
        <w:ind w:left="0" w:firstLine="0"/>
        <w:rPr>
          <w:rFonts w:eastAsiaTheme="minorHAnsi"/>
          <w:b/>
          <w:color w:val="auto"/>
          <w:lang w:eastAsia="en-US"/>
        </w:rPr>
      </w:pPr>
      <w:r w:rsidRPr="00962B79">
        <w:rPr>
          <w:rFonts w:eastAsiaTheme="minorHAnsi"/>
          <w:b/>
          <w:color w:val="auto"/>
          <w:lang w:eastAsia="en-US"/>
        </w:rPr>
        <w:t>1.</w:t>
      </w:r>
      <w:r w:rsidRPr="00962B79">
        <w:rPr>
          <w:rFonts w:eastAsiaTheme="minorHAnsi"/>
          <w:b/>
          <w:color w:val="auto"/>
          <w:lang w:eastAsia="en-US"/>
        </w:rPr>
        <w:tab/>
        <w:t xml:space="preserve">Background </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1.1</w:t>
      </w:r>
      <w:r w:rsidRPr="00962B79">
        <w:rPr>
          <w:rFonts w:eastAsiaTheme="minorHAnsi"/>
          <w:color w:val="auto"/>
          <w:lang w:eastAsia="en-US"/>
        </w:rPr>
        <w:tab/>
      </w:r>
      <w:r w:rsidRPr="00962B79">
        <w:rPr>
          <w:rFonts w:eastAsiaTheme="minorHAnsi"/>
          <w:color w:val="auto"/>
          <w:lang w:eastAsia="en-US"/>
        </w:rPr>
        <w:t>The first version of the Lancashire Skills and Employment Strategic Framework was published in February 2016 and covered a 5 year period.  The Skills and Employment Advisory Panel and the Lancashire Skills and Employment Hub have undertaken a refresh of th</w:t>
      </w:r>
      <w:r w:rsidRPr="00962B79">
        <w:rPr>
          <w:rFonts w:eastAsiaTheme="minorHAnsi"/>
          <w:color w:val="auto"/>
          <w:lang w:eastAsia="en-US"/>
        </w:rPr>
        <w:t xml:space="preserve">e framework, recognising that the framework was coming to the end of its time period and also that the framework was no longer current due to the progress made since publication. </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1.2</w:t>
      </w:r>
      <w:r w:rsidRPr="00962B79">
        <w:rPr>
          <w:rFonts w:eastAsiaTheme="minorHAnsi"/>
          <w:color w:val="auto"/>
          <w:lang w:eastAsia="en-US"/>
        </w:rPr>
        <w:tab/>
        <w:t>It was agreed that the framework</w:t>
      </w:r>
      <w:r>
        <w:rPr>
          <w:rFonts w:eastAsiaTheme="minorHAnsi"/>
          <w:color w:val="auto"/>
          <w:lang w:eastAsia="en-US"/>
        </w:rPr>
        <w:t xml:space="preserve"> in this instance</w:t>
      </w:r>
      <w:r w:rsidRPr="00962B79">
        <w:rPr>
          <w:rFonts w:eastAsiaTheme="minorHAnsi"/>
          <w:color w:val="auto"/>
          <w:lang w:eastAsia="en-US"/>
        </w:rPr>
        <w:t xml:space="preserve"> should be refreshed fo</w:t>
      </w:r>
      <w:r w:rsidRPr="00962B79">
        <w:rPr>
          <w:rFonts w:eastAsiaTheme="minorHAnsi"/>
          <w:color w:val="auto"/>
          <w:lang w:eastAsia="en-US"/>
        </w:rPr>
        <w:t>r a one year period</w:t>
      </w:r>
      <w:r>
        <w:rPr>
          <w:rFonts w:eastAsiaTheme="minorHAnsi"/>
          <w:color w:val="auto"/>
          <w:lang w:eastAsia="en-US"/>
        </w:rPr>
        <w:t xml:space="preserve"> only</w:t>
      </w:r>
      <w:r w:rsidRPr="00962B79">
        <w:rPr>
          <w:rFonts w:eastAsiaTheme="minorHAnsi"/>
          <w:color w:val="auto"/>
          <w:lang w:eastAsia="en-US"/>
        </w:rPr>
        <w:t>, taking into account the unique environment resulting from COVID-19, the development of allied strategies and groups (the LEP's Strategic Economic Framework. Sector Groups and the Greater Lancashire Plan), and the requirements of D</w:t>
      </w:r>
      <w:r w:rsidRPr="00962B79">
        <w:rPr>
          <w:rFonts w:eastAsiaTheme="minorHAnsi"/>
          <w:color w:val="auto"/>
          <w:lang w:eastAsia="en-US"/>
        </w:rPr>
        <w:t>fE for a Local Skills Report in March 2021</w:t>
      </w:r>
      <w:r>
        <w:rPr>
          <w:rFonts w:eastAsiaTheme="minorHAnsi"/>
          <w:color w:val="auto"/>
          <w:lang w:eastAsia="en-US"/>
        </w:rPr>
        <w:t>,</w:t>
      </w:r>
      <w:r w:rsidRPr="00962B79">
        <w:rPr>
          <w:rFonts w:eastAsiaTheme="minorHAnsi"/>
          <w:color w:val="auto"/>
          <w:lang w:eastAsia="en-US"/>
        </w:rPr>
        <w:t xml:space="preserve"> to meet national </w:t>
      </w:r>
      <w:r>
        <w:rPr>
          <w:rFonts w:eastAsiaTheme="minorHAnsi"/>
          <w:color w:val="auto"/>
          <w:lang w:eastAsia="en-US"/>
        </w:rPr>
        <w:t>guidance</w:t>
      </w:r>
      <w:r w:rsidRPr="00962B79">
        <w:rPr>
          <w:rFonts w:eastAsiaTheme="minorHAnsi"/>
          <w:color w:val="auto"/>
          <w:lang w:eastAsia="en-US"/>
        </w:rPr>
        <w:t>.</w:t>
      </w:r>
      <w:r>
        <w:rPr>
          <w:rFonts w:eastAsiaTheme="minorHAnsi"/>
          <w:color w:val="auto"/>
          <w:lang w:eastAsia="en-US"/>
        </w:rPr>
        <w:t xml:space="preserve"> </w:t>
      </w:r>
      <w:r>
        <w:t>It is anticipated that future versions of the framework will cover a time period of several years.</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lastRenderedPageBreak/>
        <w:t>1.3</w:t>
      </w:r>
      <w:r w:rsidRPr="00962B79">
        <w:rPr>
          <w:rFonts w:eastAsiaTheme="minorHAnsi"/>
          <w:color w:val="auto"/>
          <w:lang w:eastAsia="en-US"/>
        </w:rPr>
        <w:tab/>
        <w:t xml:space="preserve">A draft of the framework was presented to the September </w:t>
      </w:r>
      <w:r>
        <w:rPr>
          <w:rFonts w:eastAsiaTheme="minorHAnsi"/>
          <w:color w:val="auto"/>
          <w:lang w:eastAsia="en-US"/>
        </w:rPr>
        <w:t>Skills and Employment Advi</w:t>
      </w:r>
      <w:r>
        <w:rPr>
          <w:rFonts w:eastAsiaTheme="minorHAnsi"/>
          <w:color w:val="auto"/>
          <w:lang w:eastAsia="en-US"/>
        </w:rPr>
        <w:t xml:space="preserve">sory </w:t>
      </w:r>
      <w:r w:rsidRPr="00962B79">
        <w:rPr>
          <w:rFonts w:eastAsiaTheme="minorHAnsi"/>
          <w:color w:val="auto"/>
          <w:lang w:eastAsia="en-US"/>
        </w:rPr>
        <w:t>Panel meeting and approved for consultation.</w:t>
      </w:r>
    </w:p>
    <w:p w:rsidR="00962B79" w:rsidRPr="00962B79" w:rsidRDefault="00CB74E5" w:rsidP="00946846">
      <w:pPr>
        <w:spacing w:after="160" w:line="259" w:lineRule="auto"/>
        <w:ind w:left="0" w:firstLine="0"/>
        <w:jc w:val="both"/>
        <w:rPr>
          <w:rFonts w:eastAsiaTheme="minorHAnsi"/>
          <w:b/>
          <w:color w:val="auto"/>
          <w:lang w:eastAsia="en-US"/>
        </w:rPr>
      </w:pPr>
      <w:r w:rsidRPr="00962B79">
        <w:rPr>
          <w:rFonts w:eastAsiaTheme="minorHAnsi"/>
          <w:b/>
          <w:color w:val="auto"/>
          <w:lang w:eastAsia="en-US"/>
        </w:rPr>
        <w:t xml:space="preserve">2.  </w:t>
      </w:r>
      <w:r w:rsidRPr="00962B79">
        <w:rPr>
          <w:rFonts w:eastAsiaTheme="minorHAnsi"/>
          <w:b/>
          <w:color w:val="auto"/>
          <w:lang w:eastAsia="en-US"/>
        </w:rPr>
        <w:tab/>
        <w:t>Consultation</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2.1</w:t>
      </w:r>
      <w:r w:rsidRPr="00962B79">
        <w:rPr>
          <w:rFonts w:eastAsiaTheme="minorHAnsi"/>
          <w:color w:val="auto"/>
          <w:lang w:eastAsia="en-US"/>
        </w:rPr>
        <w:tab/>
        <w:t>Consultation has been undertaken via a number of virtual meetings and events.  This included:</w:t>
      </w:r>
    </w:p>
    <w:p w:rsidR="00962B79" w:rsidRPr="00962B79" w:rsidRDefault="00CB74E5" w:rsidP="00946846">
      <w:pPr>
        <w:numPr>
          <w:ilvl w:val="0"/>
          <w:numId w:val="4"/>
        </w:numPr>
        <w:spacing w:after="160" w:line="259" w:lineRule="auto"/>
        <w:contextualSpacing/>
        <w:jc w:val="both"/>
        <w:rPr>
          <w:rFonts w:eastAsiaTheme="minorHAnsi"/>
          <w:color w:val="auto"/>
          <w:lang w:eastAsia="en-US"/>
        </w:rPr>
      </w:pPr>
      <w:r w:rsidRPr="00962B79">
        <w:rPr>
          <w:rFonts w:eastAsiaTheme="minorHAnsi"/>
          <w:color w:val="auto"/>
          <w:lang w:eastAsia="en-US"/>
        </w:rPr>
        <w:t>Consultation session with LEP directors on Wednesday 21</w:t>
      </w:r>
      <w:r w:rsidRPr="00962B79">
        <w:rPr>
          <w:rFonts w:eastAsiaTheme="minorHAnsi"/>
          <w:color w:val="auto"/>
          <w:vertAlign w:val="superscript"/>
          <w:lang w:eastAsia="en-US"/>
        </w:rPr>
        <w:t>st</w:t>
      </w:r>
      <w:r w:rsidRPr="00962B79">
        <w:rPr>
          <w:rFonts w:eastAsiaTheme="minorHAnsi"/>
          <w:color w:val="auto"/>
          <w:lang w:eastAsia="en-US"/>
        </w:rPr>
        <w:t xml:space="preserve"> October</w:t>
      </w:r>
    </w:p>
    <w:p w:rsidR="00962B79" w:rsidRPr="00962B79" w:rsidRDefault="00CB74E5" w:rsidP="00946846">
      <w:pPr>
        <w:numPr>
          <w:ilvl w:val="0"/>
          <w:numId w:val="4"/>
        </w:numPr>
        <w:spacing w:after="160" w:line="259" w:lineRule="auto"/>
        <w:contextualSpacing/>
        <w:jc w:val="both"/>
        <w:rPr>
          <w:rFonts w:eastAsiaTheme="minorHAnsi"/>
          <w:color w:val="auto"/>
          <w:lang w:eastAsia="en-US"/>
        </w:rPr>
      </w:pPr>
      <w:r w:rsidRPr="00962B79">
        <w:rPr>
          <w:rFonts w:eastAsiaTheme="minorHAnsi"/>
          <w:color w:val="auto"/>
          <w:lang w:eastAsia="en-US"/>
        </w:rPr>
        <w:t xml:space="preserve">Discussions with 14 of </w:t>
      </w:r>
      <w:r w:rsidRPr="00962B79">
        <w:rPr>
          <w:rFonts w:eastAsiaTheme="minorHAnsi"/>
          <w:color w:val="auto"/>
          <w:lang w:eastAsia="en-US"/>
        </w:rPr>
        <w:t>the 15 Local Authority Chief Executives and Directors</w:t>
      </w:r>
    </w:p>
    <w:p w:rsidR="00962B79" w:rsidRPr="00962B79" w:rsidRDefault="00CB74E5" w:rsidP="00946846">
      <w:pPr>
        <w:numPr>
          <w:ilvl w:val="0"/>
          <w:numId w:val="4"/>
        </w:numPr>
        <w:spacing w:after="160" w:line="259" w:lineRule="auto"/>
        <w:contextualSpacing/>
        <w:jc w:val="both"/>
        <w:rPr>
          <w:rFonts w:eastAsiaTheme="minorHAnsi"/>
          <w:color w:val="auto"/>
          <w:lang w:eastAsia="en-US"/>
        </w:rPr>
      </w:pPr>
      <w:r w:rsidRPr="00962B79">
        <w:rPr>
          <w:rFonts w:eastAsiaTheme="minorHAnsi"/>
          <w:color w:val="auto"/>
          <w:lang w:eastAsia="en-US"/>
        </w:rPr>
        <w:t xml:space="preserve">Two consultation events with employers, providers and stakeholders (run via Zoom) which attracted a total of 41 attendees </w:t>
      </w:r>
    </w:p>
    <w:p w:rsidR="00962B79" w:rsidRPr="00962B79" w:rsidRDefault="00CB74E5" w:rsidP="00946846">
      <w:pPr>
        <w:spacing w:after="160" w:line="259" w:lineRule="auto"/>
        <w:ind w:left="720" w:firstLine="0"/>
        <w:contextualSpacing/>
        <w:jc w:val="both"/>
        <w:rPr>
          <w:rFonts w:eastAsiaTheme="minorHAnsi"/>
          <w:color w:val="auto"/>
          <w:lang w:eastAsia="en-US"/>
        </w:rPr>
      </w:pP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2.2</w:t>
      </w:r>
      <w:r w:rsidRPr="00962B79">
        <w:rPr>
          <w:rFonts w:eastAsiaTheme="minorHAnsi"/>
          <w:color w:val="auto"/>
          <w:lang w:eastAsia="en-US"/>
        </w:rPr>
        <w:tab/>
        <w:t>There was general agreement with the themes and priorities identified with</w:t>
      </w:r>
      <w:r w:rsidRPr="00962B79">
        <w:rPr>
          <w:rFonts w:eastAsiaTheme="minorHAnsi"/>
          <w:color w:val="auto"/>
          <w:lang w:eastAsia="en-US"/>
        </w:rPr>
        <w:t xml:space="preserve">in the framework, and it was agreed that it was appropriate to refresh the framework for a one year period taking into account the current environment.  </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2.3</w:t>
      </w:r>
      <w:r w:rsidRPr="00962B79">
        <w:rPr>
          <w:rFonts w:eastAsiaTheme="minorHAnsi"/>
          <w:color w:val="auto"/>
          <w:lang w:eastAsia="en-US"/>
        </w:rPr>
        <w:tab/>
        <w:t>It was suggested a number of times that the impact of COVID-19 is no longer short-term, but medium</w:t>
      </w:r>
      <w:r w:rsidRPr="00962B79">
        <w:rPr>
          <w:rFonts w:eastAsiaTheme="minorHAnsi"/>
          <w:color w:val="auto"/>
          <w:lang w:eastAsia="en-US"/>
        </w:rPr>
        <w:t xml:space="preserve"> to longer term and that the framework should be refreshed in a year's time when the implications are more fully understood.  Concerns were raised about the adverse impact on the more disadvantaged communities and the compounding effect on the 'levelling u</w:t>
      </w:r>
      <w:r w:rsidRPr="00962B79">
        <w:rPr>
          <w:rFonts w:eastAsiaTheme="minorHAnsi"/>
          <w:color w:val="auto"/>
          <w:lang w:eastAsia="en-US"/>
        </w:rPr>
        <w:t>p' agenda, and the potential for the gap to widen.</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2.4</w:t>
      </w:r>
      <w:r w:rsidRPr="00962B79">
        <w:rPr>
          <w:rFonts w:eastAsiaTheme="minorHAnsi"/>
          <w:b/>
          <w:color w:val="auto"/>
          <w:lang w:eastAsia="en-US"/>
        </w:rPr>
        <w:tab/>
      </w:r>
      <w:r w:rsidRPr="00962B79">
        <w:rPr>
          <w:rFonts w:eastAsiaTheme="minorHAnsi"/>
          <w:color w:val="auto"/>
          <w:lang w:eastAsia="en-US"/>
        </w:rPr>
        <w:t>Across the group sessions, attendees were asked to rate priorities within the different themes, and the result</w:t>
      </w:r>
      <w:r>
        <w:rPr>
          <w:rFonts w:eastAsiaTheme="minorHAnsi"/>
          <w:color w:val="auto"/>
          <w:lang w:eastAsia="en-US"/>
        </w:rPr>
        <w:t>s were as follows</w:t>
      </w:r>
      <w:r w:rsidRPr="00962B79">
        <w:rPr>
          <w:rFonts w:eastAsiaTheme="minorHAnsi"/>
          <w:color w:val="auto"/>
          <w:lang w:eastAsia="en-US"/>
        </w:rPr>
        <w:t>:</w:t>
      </w:r>
    </w:p>
    <w:p w:rsidR="00962B79" w:rsidRPr="00962B79" w:rsidRDefault="00CB74E5" w:rsidP="00946846">
      <w:pPr>
        <w:spacing w:after="160" w:line="259" w:lineRule="auto"/>
        <w:ind w:left="0" w:firstLine="0"/>
        <w:jc w:val="both"/>
        <w:rPr>
          <w:rFonts w:eastAsiaTheme="minorHAnsi"/>
          <w:b/>
          <w:color w:val="auto"/>
          <w:lang w:eastAsia="en-US"/>
        </w:rPr>
      </w:pPr>
      <w:r w:rsidRPr="00962B79">
        <w:rPr>
          <w:rFonts w:eastAsiaTheme="minorHAnsi"/>
          <w:b/>
          <w:color w:val="auto"/>
          <w:lang w:eastAsia="en-US"/>
        </w:rPr>
        <w:t>Future Workforce:</w:t>
      </w:r>
    </w:p>
    <w:p w:rsidR="00962B79" w:rsidRPr="00962B79" w:rsidRDefault="00CB74E5" w:rsidP="00946846">
      <w:pPr>
        <w:numPr>
          <w:ilvl w:val="0"/>
          <w:numId w:val="5"/>
        </w:numPr>
        <w:spacing w:after="0" w:line="240" w:lineRule="auto"/>
        <w:contextualSpacing/>
        <w:jc w:val="both"/>
        <w:rPr>
          <w:rFonts w:eastAsiaTheme="minorHAnsi"/>
          <w:color w:val="auto"/>
          <w:lang w:eastAsia="en-US"/>
        </w:rPr>
      </w:pPr>
      <w:r w:rsidRPr="00962B79">
        <w:rPr>
          <w:rFonts w:eastAsiaTheme="minorHAnsi"/>
          <w:color w:val="auto"/>
          <w:lang w:eastAsia="en-US"/>
        </w:rPr>
        <w:t>Breadth and quality of careers provision</w:t>
      </w:r>
    </w:p>
    <w:p w:rsidR="00962B79" w:rsidRPr="00962B79" w:rsidRDefault="00CB74E5" w:rsidP="00946846">
      <w:pPr>
        <w:numPr>
          <w:ilvl w:val="0"/>
          <w:numId w:val="5"/>
        </w:numPr>
        <w:spacing w:after="0" w:line="240" w:lineRule="auto"/>
        <w:contextualSpacing/>
        <w:jc w:val="both"/>
        <w:rPr>
          <w:rFonts w:eastAsiaTheme="minorHAnsi"/>
          <w:color w:val="auto"/>
          <w:lang w:eastAsia="en-US"/>
        </w:rPr>
      </w:pPr>
      <w:r w:rsidRPr="00962B79">
        <w:rPr>
          <w:rFonts w:eastAsiaTheme="minorHAnsi"/>
          <w:color w:val="auto"/>
          <w:lang w:eastAsia="en-US"/>
        </w:rPr>
        <w:t xml:space="preserve">Supporting </w:t>
      </w:r>
      <w:r w:rsidRPr="00962B79">
        <w:rPr>
          <w:rFonts w:eastAsiaTheme="minorHAnsi"/>
          <w:color w:val="auto"/>
          <w:lang w:eastAsia="en-US"/>
        </w:rPr>
        <w:t>young people and NEET</w:t>
      </w:r>
    </w:p>
    <w:p w:rsidR="00962B79" w:rsidRPr="00962B79" w:rsidRDefault="00CB74E5" w:rsidP="00946846">
      <w:pPr>
        <w:numPr>
          <w:ilvl w:val="0"/>
          <w:numId w:val="5"/>
        </w:numPr>
        <w:spacing w:after="0" w:line="240" w:lineRule="auto"/>
        <w:contextualSpacing/>
        <w:jc w:val="both"/>
        <w:rPr>
          <w:rFonts w:eastAsiaTheme="minorHAnsi"/>
          <w:color w:val="auto"/>
          <w:lang w:eastAsia="en-US"/>
        </w:rPr>
      </w:pPr>
      <w:r w:rsidRPr="00962B79">
        <w:rPr>
          <w:rFonts w:eastAsiaTheme="minorHAnsi"/>
          <w:color w:val="auto"/>
          <w:lang w:eastAsia="en-US"/>
        </w:rPr>
        <w:t>Accelerating the development of virtual encounters with employers and FE/HE</w:t>
      </w:r>
    </w:p>
    <w:p w:rsidR="00962B79" w:rsidRPr="00962B79" w:rsidRDefault="00CB74E5" w:rsidP="00946846">
      <w:pPr>
        <w:numPr>
          <w:ilvl w:val="0"/>
          <w:numId w:val="5"/>
        </w:numPr>
        <w:spacing w:after="0" w:line="240" w:lineRule="auto"/>
        <w:contextualSpacing/>
        <w:jc w:val="both"/>
        <w:rPr>
          <w:rFonts w:eastAsiaTheme="minorHAnsi"/>
          <w:color w:val="auto"/>
          <w:lang w:eastAsia="en-US"/>
        </w:rPr>
      </w:pPr>
      <w:r w:rsidRPr="00962B79">
        <w:rPr>
          <w:rFonts w:eastAsiaTheme="minorHAnsi"/>
          <w:color w:val="auto"/>
          <w:lang w:eastAsia="en-US"/>
        </w:rPr>
        <w:t>Technical education routes</w:t>
      </w:r>
    </w:p>
    <w:p w:rsidR="00962B79" w:rsidRPr="00962B79" w:rsidRDefault="00CB74E5" w:rsidP="00946846">
      <w:pPr>
        <w:spacing w:after="0" w:line="240" w:lineRule="auto"/>
        <w:ind w:left="720" w:firstLine="0"/>
        <w:contextualSpacing/>
        <w:jc w:val="both"/>
        <w:rPr>
          <w:rFonts w:eastAsiaTheme="minorHAnsi"/>
          <w:color w:val="auto"/>
          <w:lang w:eastAsia="en-US"/>
        </w:rPr>
      </w:pPr>
    </w:p>
    <w:p w:rsidR="00962B79" w:rsidRPr="00962B79" w:rsidRDefault="00CB74E5" w:rsidP="00946846">
      <w:pPr>
        <w:spacing w:after="160" w:line="259" w:lineRule="auto"/>
        <w:ind w:left="0" w:firstLine="0"/>
        <w:jc w:val="both"/>
        <w:rPr>
          <w:rFonts w:eastAsiaTheme="minorHAnsi"/>
          <w:b/>
          <w:color w:val="auto"/>
          <w:lang w:eastAsia="en-US"/>
        </w:rPr>
      </w:pPr>
      <w:r w:rsidRPr="00962B79">
        <w:rPr>
          <w:rFonts w:eastAsiaTheme="minorHAnsi"/>
          <w:b/>
          <w:color w:val="auto"/>
          <w:lang w:eastAsia="en-US"/>
        </w:rPr>
        <w:t>Inclusive workforce:</w:t>
      </w:r>
    </w:p>
    <w:p w:rsidR="00962B79" w:rsidRPr="00962B79" w:rsidRDefault="00CB74E5" w:rsidP="00946846">
      <w:pPr>
        <w:numPr>
          <w:ilvl w:val="0"/>
          <w:numId w:val="6"/>
        </w:numPr>
        <w:spacing w:after="0" w:line="240" w:lineRule="auto"/>
        <w:contextualSpacing/>
        <w:jc w:val="both"/>
        <w:rPr>
          <w:rFonts w:eastAsiaTheme="minorHAnsi"/>
          <w:color w:val="auto"/>
          <w:lang w:eastAsia="en-US"/>
        </w:rPr>
      </w:pPr>
      <w:r w:rsidRPr="00962B79">
        <w:rPr>
          <w:rFonts w:eastAsiaTheme="minorHAnsi"/>
          <w:color w:val="auto"/>
          <w:lang w:eastAsia="en-US"/>
        </w:rPr>
        <w:t>Improving employability of unemployed &amp; inactive</w:t>
      </w:r>
    </w:p>
    <w:p w:rsidR="00962B79" w:rsidRPr="00962B79" w:rsidRDefault="00CB74E5" w:rsidP="00946846">
      <w:pPr>
        <w:numPr>
          <w:ilvl w:val="0"/>
          <w:numId w:val="6"/>
        </w:numPr>
        <w:spacing w:after="0" w:line="240" w:lineRule="auto"/>
        <w:contextualSpacing/>
        <w:jc w:val="both"/>
        <w:rPr>
          <w:rFonts w:eastAsiaTheme="minorHAnsi"/>
          <w:color w:val="auto"/>
          <w:lang w:eastAsia="en-US"/>
        </w:rPr>
      </w:pPr>
      <w:r w:rsidRPr="00962B79">
        <w:rPr>
          <w:rFonts w:eastAsiaTheme="minorHAnsi"/>
          <w:color w:val="auto"/>
          <w:lang w:eastAsia="en-US"/>
        </w:rPr>
        <w:t>Moving people into jobs in areas of demand</w:t>
      </w:r>
    </w:p>
    <w:p w:rsidR="00962B79" w:rsidRPr="00962B79" w:rsidRDefault="00CB74E5" w:rsidP="00946846">
      <w:pPr>
        <w:numPr>
          <w:ilvl w:val="0"/>
          <w:numId w:val="6"/>
        </w:numPr>
        <w:spacing w:after="0" w:line="240" w:lineRule="auto"/>
        <w:contextualSpacing/>
        <w:jc w:val="both"/>
        <w:rPr>
          <w:rFonts w:eastAsiaTheme="minorHAnsi"/>
          <w:color w:val="auto"/>
          <w:lang w:eastAsia="en-US"/>
        </w:rPr>
      </w:pPr>
      <w:r w:rsidRPr="00962B79">
        <w:rPr>
          <w:rFonts w:eastAsiaTheme="minorHAnsi"/>
          <w:color w:val="auto"/>
          <w:lang w:eastAsia="en-US"/>
        </w:rPr>
        <w:t>Digital inclusion</w:t>
      </w:r>
    </w:p>
    <w:p w:rsidR="00962B79" w:rsidRPr="00962B79" w:rsidRDefault="00CB74E5" w:rsidP="00946846">
      <w:pPr>
        <w:spacing w:after="0" w:line="240" w:lineRule="auto"/>
        <w:ind w:left="720" w:firstLine="0"/>
        <w:contextualSpacing/>
        <w:jc w:val="both"/>
        <w:rPr>
          <w:rFonts w:eastAsiaTheme="minorHAnsi"/>
          <w:color w:val="auto"/>
          <w:lang w:eastAsia="en-US"/>
        </w:rPr>
      </w:pPr>
    </w:p>
    <w:p w:rsidR="00962B79" w:rsidRPr="00962B79" w:rsidRDefault="00CB74E5" w:rsidP="00946846">
      <w:pPr>
        <w:spacing w:after="160" w:line="259" w:lineRule="auto"/>
        <w:ind w:left="0" w:firstLine="0"/>
        <w:jc w:val="both"/>
        <w:rPr>
          <w:rFonts w:eastAsiaTheme="minorHAnsi"/>
          <w:b/>
          <w:color w:val="auto"/>
          <w:lang w:eastAsia="en-US"/>
        </w:rPr>
      </w:pPr>
      <w:r w:rsidRPr="00962B79">
        <w:rPr>
          <w:rFonts w:eastAsiaTheme="minorHAnsi"/>
          <w:b/>
          <w:color w:val="auto"/>
          <w:lang w:eastAsia="en-US"/>
        </w:rPr>
        <w:t>Skills and Productive Workforce:</w:t>
      </w:r>
    </w:p>
    <w:p w:rsidR="00962B79" w:rsidRPr="00962B79" w:rsidRDefault="00CB74E5" w:rsidP="00946846">
      <w:pPr>
        <w:numPr>
          <w:ilvl w:val="0"/>
          <w:numId w:val="7"/>
        </w:numPr>
        <w:spacing w:after="0" w:line="240" w:lineRule="auto"/>
        <w:contextualSpacing/>
        <w:jc w:val="both"/>
        <w:rPr>
          <w:rFonts w:eastAsiaTheme="minorHAnsi"/>
          <w:color w:val="auto"/>
          <w:lang w:eastAsia="en-US"/>
        </w:rPr>
      </w:pPr>
      <w:r w:rsidRPr="00962B79">
        <w:rPr>
          <w:rFonts w:eastAsiaTheme="minorHAnsi"/>
          <w:color w:val="auto"/>
          <w:lang w:eastAsia="en-US"/>
        </w:rPr>
        <w:t>Reskilling/upskilling the current workforce</w:t>
      </w:r>
    </w:p>
    <w:p w:rsidR="00962B79" w:rsidRPr="00962B79" w:rsidRDefault="00CB74E5" w:rsidP="00946846">
      <w:pPr>
        <w:numPr>
          <w:ilvl w:val="0"/>
          <w:numId w:val="7"/>
        </w:numPr>
        <w:spacing w:after="0" w:line="240" w:lineRule="auto"/>
        <w:contextualSpacing/>
        <w:jc w:val="both"/>
        <w:rPr>
          <w:rFonts w:eastAsiaTheme="minorHAnsi"/>
          <w:color w:val="auto"/>
          <w:lang w:eastAsia="en-US"/>
        </w:rPr>
      </w:pPr>
      <w:r w:rsidRPr="00962B79">
        <w:rPr>
          <w:rFonts w:eastAsiaTheme="minorHAnsi"/>
          <w:color w:val="auto"/>
          <w:lang w:eastAsia="en-US"/>
        </w:rPr>
        <w:t>Digital skills</w:t>
      </w:r>
    </w:p>
    <w:p w:rsidR="00962B79" w:rsidRPr="00962B79" w:rsidRDefault="00CB74E5" w:rsidP="00946846">
      <w:pPr>
        <w:numPr>
          <w:ilvl w:val="0"/>
          <w:numId w:val="7"/>
        </w:numPr>
        <w:spacing w:after="0" w:line="240" w:lineRule="auto"/>
        <w:contextualSpacing/>
        <w:jc w:val="both"/>
        <w:rPr>
          <w:rFonts w:eastAsiaTheme="minorHAnsi"/>
          <w:color w:val="auto"/>
          <w:lang w:eastAsia="en-US"/>
        </w:rPr>
      </w:pPr>
      <w:r w:rsidRPr="00962B79">
        <w:rPr>
          <w:rFonts w:eastAsiaTheme="minorHAnsi"/>
          <w:color w:val="auto"/>
          <w:lang w:eastAsia="en-US"/>
        </w:rPr>
        <w:t>Inclusivity and diversity of the Lancashire digital sector</w:t>
      </w:r>
    </w:p>
    <w:p w:rsidR="00962B79" w:rsidRPr="00962B79" w:rsidRDefault="00CB74E5" w:rsidP="00946846">
      <w:pPr>
        <w:spacing w:after="160" w:line="259" w:lineRule="auto"/>
        <w:ind w:left="0" w:firstLine="0"/>
        <w:jc w:val="both"/>
        <w:rPr>
          <w:rFonts w:eastAsiaTheme="minorHAnsi"/>
          <w:color w:val="auto"/>
          <w:lang w:eastAsia="en-US"/>
        </w:rPr>
      </w:pP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2.5</w:t>
      </w:r>
      <w:r w:rsidRPr="00962B79">
        <w:rPr>
          <w:rFonts w:eastAsiaTheme="minorHAnsi"/>
          <w:color w:val="auto"/>
          <w:lang w:eastAsia="en-US"/>
        </w:rPr>
        <w:tab/>
        <w:t xml:space="preserve">Some </w:t>
      </w:r>
      <w:r>
        <w:rPr>
          <w:rFonts w:eastAsiaTheme="minorHAnsi"/>
          <w:color w:val="auto"/>
          <w:lang w:eastAsia="en-US"/>
        </w:rPr>
        <w:t>gaps</w:t>
      </w:r>
      <w:r w:rsidRPr="00962B79">
        <w:rPr>
          <w:rFonts w:eastAsiaTheme="minorHAnsi"/>
          <w:color w:val="auto"/>
          <w:lang w:eastAsia="en-US"/>
        </w:rPr>
        <w:t xml:space="preserve"> </w:t>
      </w:r>
      <w:r w:rsidRPr="00962B79">
        <w:rPr>
          <w:rFonts w:eastAsiaTheme="minorHAnsi"/>
          <w:color w:val="auto"/>
          <w:lang w:eastAsia="en-US"/>
        </w:rPr>
        <w:t>were highlighted in the framework, such as improving career provision relating to self-e</w:t>
      </w:r>
      <w:r w:rsidRPr="00962B79">
        <w:rPr>
          <w:rFonts w:eastAsiaTheme="minorHAnsi"/>
          <w:color w:val="auto"/>
          <w:lang w:eastAsia="en-US"/>
        </w:rPr>
        <w:t xml:space="preserve">mployment and these have now been made more explicit within the framework.  </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lastRenderedPageBreak/>
        <w:t>2.6</w:t>
      </w:r>
      <w:r w:rsidRPr="00962B79">
        <w:rPr>
          <w:rFonts w:eastAsiaTheme="minorHAnsi"/>
          <w:color w:val="auto"/>
          <w:lang w:eastAsia="en-US"/>
        </w:rPr>
        <w:tab/>
        <w:t xml:space="preserve">It was recognised that the framework also had a role in supporting the work of the Sector Groups, and that as intelligence was gleaned from the expert </w:t>
      </w:r>
      <w:r>
        <w:rPr>
          <w:rFonts w:eastAsiaTheme="minorHAnsi"/>
          <w:color w:val="auto"/>
          <w:lang w:eastAsia="en-US"/>
        </w:rPr>
        <w:t xml:space="preserve">employer </w:t>
      </w:r>
      <w:r w:rsidRPr="00962B79">
        <w:rPr>
          <w:rFonts w:eastAsiaTheme="minorHAnsi"/>
          <w:color w:val="auto"/>
          <w:lang w:eastAsia="en-US"/>
        </w:rPr>
        <w:t xml:space="preserve">panels, the </w:t>
      </w:r>
      <w:r w:rsidRPr="00962B79">
        <w:rPr>
          <w:rFonts w:eastAsiaTheme="minorHAnsi"/>
          <w:color w:val="auto"/>
          <w:lang w:eastAsia="en-US"/>
        </w:rPr>
        <w:t>partners involved in delivery would need to respond</w:t>
      </w:r>
      <w:r>
        <w:rPr>
          <w:rFonts w:eastAsiaTheme="minorHAnsi"/>
          <w:color w:val="auto"/>
          <w:lang w:eastAsia="en-US"/>
        </w:rPr>
        <w:t xml:space="preserve"> appropriately</w:t>
      </w:r>
      <w:r w:rsidRPr="00962B79">
        <w:rPr>
          <w:rFonts w:eastAsiaTheme="minorHAnsi"/>
          <w:color w:val="auto"/>
          <w:lang w:eastAsia="en-US"/>
        </w:rPr>
        <w:t>. Particular reference was made to building a green workforce, in-line with the drive towards clean energy and net zero</w:t>
      </w:r>
      <w:r>
        <w:rPr>
          <w:rFonts w:eastAsiaTheme="minorHAnsi"/>
          <w:color w:val="auto"/>
          <w:lang w:eastAsia="en-US"/>
        </w:rPr>
        <w:t xml:space="preserve"> carbon targets</w:t>
      </w:r>
      <w:r w:rsidRPr="00962B79">
        <w:rPr>
          <w:rFonts w:eastAsiaTheme="minorHAnsi"/>
          <w:color w:val="auto"/>
          <w:lang w:eastAsia="en-US"/>
        </w:rPr>
        <w:t xml:space="preserve">. </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2.7</w:t>
      </w:r>
      <w:r w:rsidRPr="00962B79">
        <w:rPr>
          <w:rFonts w:eastAsiaTheme="minorHAnsi"/>
          <w:color w:val="auto"/>
          <w:lang w:eastAsia="en-US"/>
        </w:rPr>
        <w:tab/>
        <w:t xml:space="preserve">It was also suggested that a section could be </w:t>
      </w:r>
      <w:r w:rsidRPr="00962B79">
        <w:rPr>
          <w:rFonts w:eastAsiaTheme="minorHAnsi"/>
          <w:color w:val="auto"/>
          <w:lang w:eastAsia="en-US"/>
        </w:rPr>
        <w:t>added around asks to government, aligning with the restart of the work on the Lancashire Industrial Strategy (LIS)</w:t>
      </w:r>
      <w:r>
        <w:rPr>
          <w:rFonts w:eastAsiaTheme="minorHAnsi"/>
          <w:color w:val="auto"/>
          <w:lang w:eastAsia="en-US"/>
        </w:rPr>
        <w:t>, now addressed</w:t>
      </w:r>
      <w:r w:rsidRPr="00962B79">
        <w:rPr>
          <w:rFonts w:eastAsiaTheme="minorHAnsi"/>
          <w:color w:val="auto"/>
          <w:lang w:eastAsia="en-US"/>
        </w:rPr>
        <w:t>.  There was</w:t>
      </w:r>
      <w:r>
        <w:rPr>
          <w:rFonts w:eastAsiaTheme="minorHAnsi"/>
          <w:color w:val="auto"/>
          <w:lang w:eastAsia="en-US"/>
        </w:rPr>
        <w:t xml:space="preserve"> a</w:t>
      </w:r>
      <w:r w:rsidRPr="00962B79">
        <w:rPr>
          <w:rFonts w:eastAsiaTheme="minorHAnsi"/>
          <w:color w:val="auto"/>
          <w:lang w:eastAsia="en-US"/>
        </w:rPr>
        <w:t xml:space="preserve"> call to use the framework to lobby in relation to skilling up the people of the North, alongside the capital inv</w:t>
      </w:r>
      <w:r w:rsidRPr="00962B79">
        <w:rPr>
          <w:rFonts w:eastAsiaTheme="minorHAnsi"/>
          <w:color w:val="auto"/>
          <w:lang w:eastAsia="en-US"/>
        </w:rPr>
        <w:t>estment in infrastructure, to drive economic stability and a return to growth and increased productivity.</w:t>
      </w:r>
    </w:p>
    <w:p w:rsid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2.8</w:t>
      </w:r>
      <w:r w:rsidRPr="00962B79">
        <w:rPr>
          <w:rFonts w:eastAsiaTheme="minorHAnsi"/>
          <w:color w:val="auto"/>
          <w:lang w:eastAsia="en-US"/>
        </w:rPr>
        <w:tab/>
      </w:r>
      <w:r>
        <w:rPr>
          <w:rFonts w:eastAsiaTheme="minorHAnsi"/>
          <w:color w:val="auto"/>
          <w:lang w:eastAsia="en-US"/>
        </w:rPr>
        <w:t>T</w:t>
      </w:r>
      <w:r w:rsidRPr="00962B79">
        <w:rPr>
          <w:rFonts w:eastAsiaTheme="minorHAnsi"/>
          <w:color w:val="auto"/>
          <w:lang w:eastAsia="en-US"/>
        </w:rPr>
        <w:t>he framework</w:t>
      </w:r>
      <w:r>
        <w:rPr>
          <w:rFonts w:eastAsiaTheme="minorHAnsi"/>
          <w:color w:val="auto"/>
          <w:lang w:eastAsia="en-US"/>
        </w:rPr>
        <w:t xml:space="preserve"> was </w:t>
      </w:r>
      <w:r>
        <w:rPr>
          <w:rFonts w:eastAsiaTheme="minorHAnsi"/>
          <w:color w:val="auto"/>
          <w:lang w:eastAsia="en-US"/>
        </w:rPr>
        <w:t xml:space="preserve">distinguished for being </w:t>
      </w:r>
      <w:r w:rsidRPr="00962B79">
        <w:rPr>
          <w:rFonts w:eastAsiaTheme="minorHAnsi"/>
          <w:color w:val="auto"/>
          <w:lang w:eastAsia="en-US"/>
        </w:rPr>
        <w:t xml:space="preserve">ambitious </w:t>
      </w:r>
      <w:r>
        <w:rPr>
          <w:rFonts w:eastAsiaTheme="minorHAnsi"/>
          <w:color w:val="auto"/>
          <w:lang w:eastAsia="en-US"/>
        </w:rPr>
        <w:t xml:space="preserve">with a </w:t>
      </w:r>
      <w:r w:rsidRPr="00962B79">
        <w:rPr>
          <w:rFonts w:eastAsiaTheme="minorHAnsi"/>
          <w:color w:val="auto"/>
          <w:lang w:eastAsia="en-US"/>
        </w:rPr>
        <w:t>significant number of activities spread across partners.  However, it was</w:t>
      </w:r>
      <w:r>
        <w:rPr>
          <w:rFonts w:eastAsiaTheme="minorHAnsi"/>
          <w:color w:val="auto"/>
          <w:lang w:eastAsia="en-US"/>
        </w:rPr>
        <w:t xml:space="preserve"> further</w:t>
      </w:r>
      <w:r w:rsidRPr="00962B79">
        <w:rPr>
          <w:rFonts w:eastAsiaTheme="minorHAnsi"/>
          <w:color w:val="auto"/>
          <w:lang w:eastAsia="en-US"/>
        </w:rPr>
        <w:t xml:space="preserve"> noted</w:t>
      </w:r>
      <w:r w:rsidRPr="00962B79">
        <w:rPr>
          <w:rFonts w:eastAsiaTheme="minorHAnsi"/>
          <w:color w:val="auto"/>
          <w:lang w:eastAsia="en-US"/>
        </w:rPr>
        <w:t xml:space="preserve"> that the activity builds on the foundations built over the past four years, since the publication of the first framework.  The list under 2.4 will help to drive priorities within the Skills and Employment Hub and conversations with partners.</w:t>
      </w:r>
    </w:p>
    <w:p w:rsidR="00EF15E9" w:rsidRPr="00962B79" w:rsidRDefault="00CB74E5" w:rsidP="00946846">
      <w:pPr>
        <w:spacing w:after="160" w:line="259" w:lineRule="auto"/>
        <w:ind w:left="720" w:hanging="720"/>
        <w:jc w:val="both"/>
        <w:rPr>
          <w:rFonts w:eastAsiaTheme="minorHAnsi"/>
          <w:color w:val="auto"/>
          <w:lang w:eastAsia="en-US"/>
        </w:rPr>
      </w:pPr>
      <w:r>
        <w:rPr>
          <w:rFonts w:eastAsiaTheme="minorHAnsi"/>
          <w:color w:val="auto"/>
          <w:lang w:eastAsia="en-US"/>
        </w:rPr>
        <w:t>2.9</w:t>
      </w:r>
      <w:r>
        <w:rPr>
          <w:rFonts w:eastAsiaTheme="minorHAnsi"/>
          <w:color w:val="auto"/>
          <w:lang w:eastAsia="en-US"/>
        </w:rPr>
        <w:tab/>
        <w:t>The final</w:t>
      </w:r>
      <w:r>
        <w:rPr>
          <w:rFonts w:eastAsiaTheme="minorHAnsi"/>
          <w:color w:val="auto"/>
          <w:lang w:eastAsia="en-US"/>
        </w:rPr>
        <w:t xml:space="preserve"> version of the framework is provided in the attached Appendices, with the summary of the Labour Market Intelligence.</w:t>
      </w:r>
      <w:r>
        <w:rPr>
          <w:rFonts w:eastAsiaTheme="minorHAnsi"/>
          <w:color w:val="auto"/>
          <w:lang w:eastAsia="en-US"/>
        </w:rPr>
        <w:t xml:space="preserve">  The framework will be professionally designed prior to publication, in a style similar to that of the Technical Education Vision.</w:t>
      </w:r>
    </w:p>
    <w:p w:rsidR="00962B79" w:rsidRPr="00962B79" w:rsidRDefault="00CB74E5" w:rsidP="00946846">
      <w:pPr>
        <w:spacing w:after="160" w:line="259" w:lineRule="auto"/>
        <w:ind w:left="0" w:firstLine="0"/>
        <w:jc w:val="both"/>
        <w:rPr>
          <w:rFonts w:eastAsiaTheme="minorHAnsi"/>
          <w:b/>
          <w:color w:val="auto"/>
          <w:lang w:eastAsia="en-US"/>
        </w:rPr>
      </w:pPr>
      <w:r w:rsidRPr="00962B79">
        <w:rPr>
          <w:rFonts w:eastAsiaTheme="minorHAnsi"/>
          <w:b/>
          <w:color w:val="auto"/>
          <w:lang w:eastAsia="en-US"/>
        </w:rPr>
        <w:t>3.</w:t>
      </w:r>
      <w:r w:rsidRPr="00962B79">
        <w:rPr>
          <w:rFonts w:eastAsiaTheme="minorHAnsi"/>
          <w:b/>
          <w:color w:val="auto"/>
          <w:lang w:eastAsia="en-US"/>
        </w:rPr>
        <w:tab/>
        <w:t>Conc</w:t>
      </w:r>
      <w:r w:rsidRPr="00962B79">
        <w:rPr>
          <w:rFonts w:eastAsiaTheme="minorHAnsi"/>
          <w:b/>
          <w:color w:val="auto"/>
          <w:lang w:eastAsia="en-US"/>
        </w:rPr>
        <w:t>lusion</w:t>
      </w:r>
    </w:p>
    <w:p w:rsidR="00962B79" w:rsidRPr="00962B79" w:rsidRDefault="00CB74E5" w:rsidP="00946846">
      <w:pPr>
        <w:spacing w:after="160" w:line="259" w:lineRule="auto"/>
        <w:ind w:left="720" w:hanging="720"/>
        <w:jc w:val="both"/>
        <w:rPr>
          <w:rFonts w:eastAsiaTheme="minorHAnsi"/>
          <w:color w:val="auto"/>
          <w:lang w:eastAsia="en-US"/>
        </w:rPr>
      </w:pPr>
      <w:r w:rsidRPr="00962B79">
        <w:rPr>
          <w:rFonts w:eastAsiaTheme="minorHAnsi"/>
          <w:color w:val="auto"/>
          <w:lang w:eastAsia="en-US"/>
        </w:rPr>
        <w:t>3.1</w:t>
      </w:r>
      <w:r w:rsidRPr="00962B79">
        <w:rPr>
          <w:rFonts w:eastAsiaTheme="minorHAnsi"/>
          <w:color w:val="auto"/>
          <w:lang w:eastAsia="en-US"/>
        </w:rPr>
        <w:tab/>
        <w:t xml:space="preserve">In line with the feedback received through the consultation, a number of minor amendments have been made to the draft framework.  </w:t>
      </w:r>
      <w:r>
        <w:rPr>
          <w:rFonts w:eastAsiaTheme="minorHAnsi"/>
          <w:color w:val="auto"/>
          <w:lang w:eastAsia="en-US"/>
        </w:rPr>
        <w:t>The Skills and Employment Advisory Panel recommend to the</w:t>
      </w:r>
      <w:r w:rsidRPr="00962B79">
        <w:rPr>
          <w:rFonts w:eastAsiaTheme="minorHAnsi"/>
          <w:color w:val="auto"/>
          <w:lang w:eastAsia="en-US"/>
        </w:rPr>
        <w:t xml:space="preserve"> LEP Board</w:t>
      </w:r>
      <w:r>
        <w:rPr>
          <w:rFonts w:eastAsiaTheme="minorHAnsi"/>
          <w:color w:val="auto"/>
          <w:lang w:eastAsia="en-US"/>
        </w:rPr>
        <w:t>,</w:t>
      </w:r>
      <w:r w:rsidRPr="00962B79">
        <w:rPr>
          <w:rFonts w:eastAsiaTheme="minorHAnsi"/>
          <w:color w:val="auto"/>
          <w:lang w:eastAsia="en-US"/>
        </w:rPr>
        <w:t xml:space="preserve"> to approve the final version for publication i</w:t>
      </w:r>
      <w:r w:rsidRPr="00962B79">
        <w:rPr>
          <w:rFonts w:eastAsiaTheme="minorHAnsi"/>
          <w:color w:val="auto"/>
          <w:lang w:eastAsia="en-US"/>
        </w:rPr>
        <w:t>n Jan</w:t>
      </w:r>
      <w:r>
        <w:rPr>
          <w:rFonts w:eastAsiaTheme="minorHAnsi"/>
          <w:color w:val="auto"/>
          <w:lang w:eastAsia="en-US"/>
        </w:rPr>
        <w:t>uary 2021 for a 12 month period.</w:t>
      </w:r>
    </w:p>
    <w:p w:rsidR="00962B79" w:rsidRPr="00962B79" w:rsidRDefault="00CB74E5" w:rsidP="00962B79">
      <w:pPr>
        <w:spacing w:after="160" w:line="259" w:lineRule="auto"/>
        <w:ind w:left="0" w:firstLine="0"/>
        <w:rPr>
          <w:rFonts w:asciiTheme="minorHAnsi" w:eastAsiaTheme="minorHAnsi" w:hAnsiTheme="minorHAnsi" w:cstheme="minorBidi"/>
          <w:color w:val="auto"/>
          <w:sz w:val="22"/>
          <w:szCs w:val="22"/>
          <w:lang w:eastAsia="en-US"/>
        </w:rPr>
      </w:pPr>
    </w:p>
    <w:p w:rsidR="00386D34" w:rsidRDefault="00CB74E5" w:rsidP="00946846">
      <w:pPr>
        <w:ind w:left="0" w:firstLine="0"/>
      </w:pPr>
    </w:p>
    <w:p w:rsidR="005D0C06" w:rsidRPr="00AB6785" w:rsidRDefault="00CB74E5" w:rsidP="005D0C06">
      <w:pPr>
        <w:pStyle w:val="Heading5"/>
        <w:rPr>
          <w:rFonts w:ascii="Arial" w:hAnsi="Arial"/>
          <w:b/>
          <w:color w:val="auto"/>
        </w:rPr>
      </w:pPr>
      <w:r w:rsidRPr="00AB6785">
        <w:rPr>
          <w:rFonts w:ascii="Arial" w:hAnsi="Arial"/>
          <w:b/>
          <w:color w:val="auto"/>
        </w:rPr>
        <w:t>List of Background Papers</w:t>
      </w:r>
    </w:p>
    <w:p w:rsidR="005D0C06" w:rsidRDefault="00CB74E5" w:rsidP="005D0C06"/>
    <w:tbl>
      <w:tblPr>
        <w:tblW w:w="0" w:type="auto"/>
        <w:tblLayout w:type="fixed"/>
        <w:tblLook w:val="0000" w:firstRow="0" w:lastRow="0" w:firstColumn="0" w:lastColumn="0" w:noHBand="0" w:noVBand="0"/>
      </w:tblPr>
      <w:tblGrid>
        <w:gridCol w:w="3510"/>
        <w:gridCol w:w="2492"/>
        <w:gridCol w:w="3178"/>
      </w:tblGrid>
      <w:tr w:rsidR="00E74917" w:rsidTr="00434CCE">
        <w:tc>
          <w:tcPr>
            <w:tcW w:w="3510" w:type="dxa"/>
          </w:tcPr>
          <w:p w:rsidR="005D0C06" w:rsidRPr="00AB6785" w:rsidRDefault="00CB74E5"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CB74E5"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CB74E5" w:rsidP="00434CCE">
            <w:pPr>
              <w:pStyle w:val="Heading7"/>
              <w:rPr>
                <w:rFonts w:ascii="Arial" w:hAnsi="Arial" w:cs="Arial"/>
                <w:i w:val="0"/>
                <w:color w:val="auto"/>
              </w:rPr>
            </w:pPr>
            <w:r w:rsidRPr="00AB6785">
              <w:rPr>
                <w:rFonts w:ascii="Arial" w:hAnsi="Arial" w:cs="Arial"/>
                <w:i w:val="0"/>
                <w:color w:val="auto"/>
              </w:rPr>
              <w:t>Contact/Tel</w:t>
            </w:r>
          </w:p>
        </w:tc>
      </w:tr>
      <w:tr w:rsidR="00E74917" w:rsidTr="00434CCE">
        <w:tc>
          <w:tcPr>
            <w:tcW w:w="3510" w:type="dxa"/>
          </w:tcPr>
          <w:p w:rsidR="005D0C06" w:rsidRPr="00AB6785" w:rsidRDefault="00CB74E5" w:rsidP="00434CCE">
            <w:pPr>
              <w:rPr>
                <w:color w:val="auto"/>
              </w:rPr>
            </w:pPr>
          </w:p>
          <w:p w:rsidR="005D0C06" w:rsidRDefault="00CB74E5" w:rsidP="00434CCE">
            <w:pPr>
              <w:rPr>
                <w:color w:val="auto"/>
              </w:rPr>
            </w:pPr>
            <w:r>
              <w:rPr>
                <w:color w:val="auto"/>
              </w:rPr>
              <w:t>None</w:t>
            </w:r>
          </w:p>
          <w:p w:rsidR="005D0C06" w:rsidRPr="00AB6785" w:rsidRDefault="00CB74E5" w:rsidP="00434CCE">
            <w:pPr>
              <w:rPr>
                <w:color w:val="auto"/>
              </w:rPr>
            </w:pPr>
          </w:p>
        </w:tc>
        <w:tc>
          <w:tcPr>
            <w:tcW w:w="2492" w:type="dxa"/>
          </w:tcPr>
          <w:p w:rsidR="005D0C06" w:rsidRPr="00AB6785" w:rsidRDefault="00CB74E5" w:rsidP="00434CCE">
            <w:pPr>
              <w:rPr>
                <w:color w:val="auto"/>
              </w:rPr>
            </w:pPr>
          </w:p>
        </w:tc>
        <w:tc>
          <w:tcPr>
            <w:tcW w:w="3178" w:type="dxa"/>
          </w:tcPr>
          <w:p w:rsidR="005D0C06" w:rsidRPr="00AB6785" w:rsidRDefault="00CB74E5" w:rsidP="00434CCE">
            <w:pPr>
              <w:rPr>
                <w:color w:val="auto"/>
              </w:rPr>
            </w:pPr>
          </w:p>
        </w:tc>
      </w:tr>
      <w:tr w:rsidR="00E74917" w:rsidTr="00434CCE">
        <w:trPr>
          <w:cantSplit/>
        </w:trPr>
        <w:tc>
          <w:tcPr>
            <w:tcW w:w="9180" w:type="dxa"/>
            <w:gridSpan w:val="3"/>
          </w:tcPr>
          <w:p w:rsidR="005D0C06" w:rsidRDefault="00CB74E5" w:rsidP="00434CCE"/>
          <w:p w:rsidR="005D0C06" w:rsidRDefault="00CB74E5" w:rsidP="00434CCE">
            <w:r>
              <w:t xml:space="preserve">Reason for inclusion in Part II, if appropriate </w:t>
            </w:r>
          </w:p>
          <w:p w:rsidR="005D0C06" w:rsidRDefault="00CB74E5" w:rsidP="00434CCE"/>
          <w:p w:rsidR="005D0C06" w:rsidRPr="00F95C8B" w:rsidRDefault="00CB74E5" w:rsidP="00434CCE">
            <w:pPr>
              <w:rPr>
                <w:color w:val="auto"/>
              </w:rPr>
            </w:pPr>
            <w:r>
              <w:rPr>
                <w:color w:val="auto"/>
              </w:rPr>
              <w:t>N/A</w:t>
            </w:r>
          </w:p>
          <w:p w:rsidR="005D0C06" w:rsidRDefault="00CB74E5" w:rsidP="00434CCE">
            <w:pPr>
              <w:jc w:val="both"/>
            </w:pPr>
          </w:p>
        </w:tc>
      </w:tr>
    </w:tbl>
    <w:p w:rsidR="005D0C06" w:rsidRDefault="00CB74E5"/>
    <w:sectPr w:rsidR="005D0C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74E5">
      <w:pPr>
        <w:spacing w:after="0" w:line="240" w:lineRule="auto"/>
      </w:pPr>
      <w:r>
        <w:separator/>
      </w:r>
    </w:p>
  </w:endnote>
  <w:endnote w:type="continuationSeparator" w:id="0">
    <w:p w:rsidR="00000000" w:rsidRDefault="00CB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74E5">
      <w:pPr>
        <w:spacing w:after="0" w:line="240" w:lineRule="auto"/>
      </w:pPr>
      <w:r>
        <w:separator/>
      </w:r>
    </w:p>
  </w:footnote>
  <w:footnote w:type="continuationSeparator" w:id="0">
    <w:p w:rsidR="00000000" w:rsidRDefault="00CB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CB74E5">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34984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DA0A72F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9EA0CE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CC6E75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B68167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82E229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606A80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E38981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CB00FE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122917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32A29EB"/>
    <w:multiLevelType w:val="hybridMultilevel"/>
    <w:tmpl w:val="C0E21E16"/>
    <w:lvl w:ilvl="0" w:tplc="60A64AD0">
      <w:start w:val="11"/>
      <w:numFmt w:val="bullet"/>
      <w:lvlText w:val="-"/>
      <w:lvlJc w:val="left"/>
      <w:pPr>
        <w:ind w:left="720" w:hanging="360"/>
      </w:pPr>
      <w:rPr>
        <w:rFonts w:ascii="Arial" w:eastAsiaTheme="minorHAnsi" w:hAnsi="Arial" w:cs="Arial" w:hint="default"/>
      </w:rPr>
    </w:lvl>
    <w:lvl w:ilvl="1" w:tplc="83444CB8" w:tentative="1">
      <w:start w:val="1"/>
      <w:numFmt w:val="bullet"/>
      <w:lvlText w:val="o"/>
      <w:lvlJc w:val="left"/>
      <w:pPr>
        <w:ind w:left="1440" w:hanging="360"/>
      </w:pPr>
      <w:rPr>
        <w:rFonts w:ascii="Courier New" w:hAnsi="Courier New" w:cs="Courier New" w:hint="default"/>
      </w:rPr>
    </w:lvl>
    <w:lvl w:ilvl="2" w:tplc="95A2102C" w:tentative="1">
      <w:start w:val="1"/>
      <w:numFmt w:val="bullet"/>
      <w:lvlText w:val=""/>
      <w:lvlJc w:val="left"/>
      <w:pPr>
        <w:ind w:left="2160" w:hanging="360"/>
      </w:pPr>
      <w:rPr>
        <w:rFonts w:ascii="Wingdings" w:hAnsi="Wingdings" w:hint="default"/>
      </w:rPr>
    </w:lvl>
    <w:lvl w:ilvl="3" w:tplc="C5A28E30" w:tentative="1">
      <w:start w:val="1"/>
      <w:numFmt w:val="bullet"/>
      <w:lvlText w:val=""/>
      <w:lvlJc w:val="left"/>
      <w:pPr>
        <w:ind w:left="2880" w:hanging="360"/>
      </w:pPr>
      <w:rPr>
        <w:rFonts w:ascii="Symbol" w:hAnsi="Symbol" w:hint="default"/>
      </w:rPr>
    </w:lvl>
    <w:lvl w:ilvl="4" w:tplc="663EB68A" w:tentative="1">
      <w:start w:val="1"/>
      <w:numFmt w:val="bullet"/>
      <w:lvlText w:val="o"/>
      <w:lvlJc w:val="left"/>
      <w:pPr>
        <w:ind w:left="3600" w:hanging="360"/>
      </w:pPr>
      <w:rPr>
        <w:rFonts w:ascii="Courier New" w:hAnsi="Courier New" w:cs="Courier New" w:hint="default"/>
      </w:rPr>
    </w:lvl>
    <w:lvl w:ilvl="5" w:tplc="660417B6" w:tentative="1">
      <w:start w:val="1"/>
      <w:numFmt w:val="bullet"/>
      <w:lvlText w:val=""/>
      <w:lvlJc w:val="left"/>
      <w:pPr>
        <w:ind w:left="4320" w:hanging="360"/>
      </w:pPr>
      <w:rPr>
        <w:rFonts w:ascii="Wingdings" w:hAnsi="Wingdings" w:hint="default"/>
      </w:rPr>
    </w:lvl>
    <w:lvl w:ilvl="6" w:tplc="25441506" w:tentative="1">
      <w:start w:val="1"/>
      <w:numFmt w:val="bullet"/>
      <w:lvlText w:val=""/>
      <w:lvlJc w:val="left"/>
      <w:pPr>
        <w:ind w:left="5040" w:hanging="360"/>
      </w:pPr>
      <w:rPr>
        <w:rFonts w:ascii="Symbol" w:hAnsi="Symbol" w:hint="default"/>
      </w:rPr>
    </w:lvl>
    <w:lvl w:ilvl="7" w:tplc="DD4E7BA0" w:tentative="1">
      <w:start w:val="1"/>
      <w:numFmt w:val="bullet"/>
      <w:lvlText w:val="o"/>
      <w:lvlJc w:val="left"/>
      <w:pPr>
        <w:ind w:left="5760" w:hanging="360"/>
      </w:pPr>
      <w:rPr>
        <w:rFonts w:ascii="Courier New" w:hAnsi="Courier New" w:cs="Courier New" w:hint="default"/>
      </w:rPr>
    </w:lvl>
    <w:lvl w:ilvl="8" w:tplc="12906B94" w:tentative="1">
      <w:start w:val="1"/>
      <w:numFmt w:val="bullet"/>
      <w:lvlText w:val=""/>
      <w:lvlJc w:val="left"/>
      <w:pPr>
        <w:ind w:left="6480" w:hanging="360"/>
      </w:pPr>
      <w:rPr>
        <w:rFonts w:ascii="Wingdings" w:hAnsi="Wingdings" w:hint="default"/>
      </w:rPr>
    </w:lvl>
  </w:abstractNum>
  <w:abstractNum w:abstractNumId="4" w15:restartNumberingAfterBreak="0">
    <w:nsid w:val="7541070F"/>
    <w:multiLevelType w:val="hybridMultilevel"/>
    <w:tmpl w:val="CDACC752"/>
    <w:lvl w:ilvl="0" w:tplc="4D1E036E">
      <w:start w:val="1"/>
      <w:numFmt w:val="decimal"/>
      <w:lvlText w:val="%1."/>
      <w:lvlJc w:val="left"/>
      <w:pPr>
        <w:ind w:left="720" w:hanging="360"/>
      </w:pPr>
      <w:rPr>
        <w:rFonts w:hint="default"/>
      </w:rPr>
    </w:lvl>
    <w:lvl w:ilvl="1" w:tplc="D8C0B710" w:tentative="1">
      <w:start w:val="1"/>
      <w:numFmt w:val="lowerLetter"/>
      <w:lvlText w:val="%2."/>
      <w:lvlJc w:val="left"/>
      <w:pPr>
        <w:ind w:left="1440" w:hanging="360"/>
      </w:pPr>
    </w:lvl>
    <w:lvl w:ilvl="2" w:tplc="54769F1C" w:tentative="1">
      <w:start w:val="1"/>
      <w:numFmt w:val="lowerRoman"/>
      <w:lvlText w:val="%3."/>
      <w:lvlJc w:val="right"/>
      <w:pPr>
        <w:ind w:left="2160" w:hanging="180"/>
      </w:pPr>
    </w:lvl>
    <w:lvl w:ilvl="3" w:tplc="651AF5EC" w:tentative="1">
      <w:start w:val="1"/>
      <w:numFmt w:val="decimal"/>
      <w:lvlText w:val="%4."/>
      <w:lvlJc w:val="left"/>
      <w:pPr>
        <w:ind w:left="2880" w:hanging="360"/>
      </w:pPr>
    </w:lvl>
    <w:lvl w:ilvl="4" w:tplc="FD86A7BE" w:tentative="1">
      <w:start w:val="1"/>
      <w:numFmt w:val="lowerLetter"/>
      <w:lvlText w:val="%5."/>
      <w:lvlJc w:val="left"/>
      <w:pPr>
        <w:ind w:left="3600" w:hanging="360"/>
      </w:pPr>
    </w:lvl>
    <w:lvl w:ilvl="5" w:tplc="A07E77AC" w:tentative="1">
      <w:start w:val="1"/>
      <w:numFmt w:val="lowerRoman"/>
      <w:lvlText w:val="%6."/>
      <w:lvlJc w:val="right"/>
      <w:pPr>
        <w:ind w:left="4320" w:hanging="180"/>
      </w:pPr>
    </w:lvl>
    <w:lvl w:ilvl="6" w:tplc="A20C585E" w:tentative="1">
      <w:start w:val="1"/>
      <w:numFmt w:val="decimal"/>
      <w:lvlText w:val="%7."/>
      <w:lvlJc w:val="left"/>
      <w:pPr>
        <w:ind w:left="5040" w:hanging="360"/>
      </w:pPr>
    </w:lvl>
    <w:lvl w:ilvl="7" w:tplc="78FA7FAE" w:tentative="1">
      <w:start w:val="1"/>
      <w:numFmt w:val="lowerLetter"/>
      <w:lvlText w:val="%8."/>
      <w:lvlJc w:val="left"/>
      <w:pPr>
        <w:ind w:left="5760" w:hanging="360"/>
      </w:pPr>
    </w:lvl>
    <w:lvl w:ilvl="8" w:tplc="CFEE8966" w:tentative="1">
      <w:start w:val="1"/>
      <w:numFmt w:val="lowerRoman"/>
      <w:lvlText w:val="%9."/>
      <w:lvlJc w:val="right"/>
      <w:pPr>
        <w:ind w:left="6480" w:hanging="180"/>
      </w:pPr>
    </w:lvl>
  </w:abstractNum>
  <w:abstractNum w:abstractNumId="5" w15:restartNumberingAfterBreak="0">
    <w:nsid w:val="75410710"/>
    <w:multiLevelType w:val="hybridMultilevel"/>
    <w:tmpl w:val="FE827FEC"/>
    <w:lvl w:ilvl="0" w:tplc="BDC8122E">
      <w:start w:val="1"/>
      <w:numFmt w:val="decimal"/>
      <w:lvlText w:val="%1."/>
      <w:lvlJc w:val="left"/>
      <w:pPr>
        <w:ind w:left="720" w:hanging="360"/>
      </w:pPr>
      <w:rPr>
        <w:rFonts w:hint="default"/>
      </w:rPr>
    </w:lvl>
    <w:lvl w:ilvl="1" w:tplc="CBE23BFE" w:tentative="1">
      <w:start w:val="1"/>
      <w:numFmt w:val="lowerLetter"/>
      <w:lvlText w:val="%2."/>
      <w:lvlJc w:val="left"/>
      <w:pPr>
        <w:ind w:left="1440" w:hanging="360"/>
      </w:pPr>
    </w:lvl>
    <w:lvl w:ilvl="2" w:tplc="CC9C346A" w:tentative="1">
      <w:start w:val="1"/>
      <w:numFmt w:val="lowerRoman"/>
      <w:lvlText w:val="%3."/>
      <w:lvlJc w:val="right"/>
      <w:pPr>
        <w:ind w:left="2160" w:hanging="180"/>
      </w:pPr>
    </w:lvl>
    <w:lvl w:ilvl="3" w:tplc="4FF4AF30" w:tentative="1">
      <w:start w:val="1"/>
      <w:numFmt w:val="decimal"/>
      <w:lvlText w:val="%4."/>
      <w:lvlJc w:val="left"/>
      <w:pPr>
        <w:ind w:left="2880" w:hanging="360"/>
      </w:pPr>
    </w:lvl>
    <w:lvl w:ilvl="4" w:tplc="33801F32" w:tentative="1">
      <w:start w:val="1"/>
      <w:numFmt w:val="lowerLetter"/>
      <w:lvlText w:val="%5."/>
      <w:lvlJc w:val="left"/>
      <w:pPr>
        <w:ind w:left="3600" w:hanging="360"/>
      </w:pPr>
    </w:lvl>
    <w:lvl w:ilvl="5" w:tplc="082CD392" w:tentative="1">
      <w:start w:val="1"/>
      <w:numFmt w:val="lowerRoman"/>
      <w:lvlText w:val="%6."/>
      <w:lvlJc w:val="right"/>
      <w:pPr>
        <w:ind w:left="4320" w:hanging="180"/>
      </w:pPr>
    </w:lvl>
    <w:lvl w:ilvl="6" w:tplc="3C6410F4" w:tentative="1">
      <w:start w:val="1"/>
      <w:numFmt w:val="decimal"/>
      <w:lvlText w:val="%7."/>
      <w:lvlJc w:val="left"/>
      <w:pPr>
        <w:ind w:left="5040" w:hanging="360"/>
      </w:pPr>
    </w:lvl>
    <w:lvl w:ilvl="7" w:tplc="C5ACF4EE" w:tentative="1">
      <w:start w:val="1"/>
      <w:numFmt w:val="lowerLetter"/>
      <w:lvlText w:val="%8."/>
      <w:lvlJc w:val="left"/>
      <w:pPr>
        <w:ind w:left="5760" w:hanging="360"/>
      </w:pPr>
    </w:lvl>
    <w:lvl w:ilvl="8" w:tplc="F66AE6A8" w:tentative="1">
      <w:start w:val="1"/>
      <w:numFmt w:val="lowerRoman"/>
      <w:lvlText w:val="%9."/>
      <w:lvlJc w:val="right"/>
      <w:pPr>
        <w:ind w:left="6480" w:hanging="180"/>
      </w:pPr>
    </w:lvl>
  </w:abstractNum>
  <w:abstractNum w:abstractNumId="6" w15:restartNumberingAfterBreak="0">
    <w:nsid w:val="75410711"/>
    <w:multiLevelType w:val="hybridMultilevel"/>
    <w:tmpl w:val="25DCCA72"/>
    <w:lvl w:ilvl="0" w:tplc="66DED5AE">
      <w:start w:val="1"/>
      <w:numFmt w:val="decimal"/>
      <w:lvlText w:val="%1."/>
      <w:lvlJc w:val="left"/>
      <w:pPr>
        <w:ind w:left="720" w:hanging="360"/>
      </w:pPr>
      <w:rPr>
        <w:rFonts w:hint="default"/>
      </w:rPr>
    </w:lvl>
    <w:lvl w:ilvl="1" w:tplc="EC9E1238" w:tentative="1">
      <w:start w:val="1"/>
      <w:numFmt w:val="lowerLetter"/>
      <w:lvlText w:val="%2."/>
      <w:lvlJc w:val="left"/>
      <w:pPr>
        <w:ind w:left="1440" w:hanging="360"/>
      </w:pPr>
    </w:lvl>
    <w:lvl w:ilvl="2" w:tplc="41FA6B2E" w:tentative="1">
      <w:start w:val="1"/>
      <w:numFmt w:val="lowerRoman"/>
      <w:lvlText w:val="%3."/>
      <w:lvlJc w:val="right"/>
      <w:pPr>
        <w:ind w:left="2160" w:hanging="180"/>
      </w:pPr>
    </w:lvl>
    <w:lvl w:ilvl="3" w:tplc="4E6050AC" w:tentative="1">
      <w:start w:val="1"/>
      <w:numFmt w:val="decimal"/>
      <w:lvlText w:val="%4."/>
      <w:lvlJc w:val="left"/>
      <w:pPr>
        <w:ind w:left="2880" w:hanging="360"/>
      </w:pPr>
    </w:lvl>
    <w:lvl w:ilvl="4" w:tplc="3250AF12" w:tentative="1">
      <w:start w:val="1"/>
      <w:numFmt w:val="lowerLetter"/>
      <w:lvlText w:val="%5."/>
      <w:lvlJc w:val="left"/>
      <w:pPr>
        <w:ind w:left="3600" w:hanging="360"/>
      </w:pPr>
    </w:lvl>
    <w:lvl w:ilvl="5" w:tplc="C3AAE942" w:tentative="1">
      <w:start w:val="1"/>
      <w:numFmt w:val="lowerRoman"/>
      <w:lvlText w:val="%6."/>
      <w:lvlJc w:val="right"/>
      <w:pPr>
        <w:ind w:left="4320" w:hanging="180"/>
      </w:pPr>
    </w:lvl>
    <w:lvl w:ilvl="6" w:tplc="1B04EBEC" w:tentative="1">
      <w:start w:val="1"/>
      <w:numFmt w:val="decimal"/>
      <w:lvlText w:val="%7."/>
      <w:lvlJc w:val="left"/>
      <w:pPr>
        <w:ind w:left="5040" w:hanging="360"/>
      </w:pPr>
    </w:lvl>
    <w:lvl w:ilvl="7" w:tplc="8182D132" w:tentative="1">
      <w:start w:val="1"/>
      <w:numFmt w:val="lowerLetter"/>
      <w:lvlText w:val="%8."/>
      <w:lvlJc w:val="left"/>
      <w:pPr>
        <w:ind w:left="5760" w:hanging="360"/>
      </w:pPr>
    </w:lvl>
    <w:lvl w:ilvl="8" w:tplc="1C9A9FCE"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17"/>
    <w:rsid w:val="00CB74E5"/>
    <w:rsid w:val="00E7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02D8"/>
  <w15:docId w15:val="{C713C7BF-197C-4FF7-92C2-6F7FF414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962B79"/>
    <w:rPr>
      <w:color w:val="0563C1" w:themeColor="hyperlink"/>
      <w:u w:val="single"/>
    </w:rPr>
  </w:style>
  <w:style w:type="paragraph" w:styleId="BalloonText">
    <w:name w:val="Balloon Text"/>
    <w:basedOn w:val="Normal"/>
    <w:link w:val="BalloonTextChar"/>
    <w:uiPriority w:val="99"/>
    <w:semiHidden/>
    <w:unhideWhenUsed/>
    <w:rsid w:val="00922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0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BC7F-EF45-48E5-BEED-3767DF84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19</cp:revision>
  <dcterms:created xsi:type="dcterms:W3CDTF">2014-12-03T08:17:00Z</dcterms:created>
  <dcterms:modified xsi:type="dcterms:W3CDTF">2020-11-30T16:28:00Z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Skills and Employment Strategic Framework 2021 Refresh</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Tuesday, 8 December 2020</vt:lpwstr>
  </property>
</Properties>
</file>